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22" w:rsidRDefault="00F32A51">
      <w:pPr>
        <w:spacing w:after="186" w:line="259" w:lineRule="auto"/>
        <w:ind w:left="0" w:right="7" w:firstLine="0"/>
        <w:jc w:val="center"/>
      </w:pPr>
      <w:r>
        <w:rPr>
          <w:b/>
          <w:sz w:val="30"/>
        </w:rPr>
        <w:t xml:space="preserve">CÔNG TY CỔ PHẦN CHỨNG KHOÁN PHÚ HƯNG (PHS) </w:t>
      </w:r>
    </w:p>
    <w:p w:rsidR="006E2C22" w:rsidRDefault="00F32A51">
      <w:pPr>
        <w:spacing w:after="158" w:line="259" w:lineRule="auto"/>
        <w:ind w:left="120" w:firstLine="0"/>
        <w:jc w:val="left"/>
      </w:pPr>
      <w:r>
        <w:rPr>
          <w:b/>
          <w:sz w:val="30"/>
        </w:rPr>
        <w:t xml:space="preserve">HƯỚNG DẪN NHÀ ĐẦU TƯ THAM GIA ĐẤU GIÁ MUA CỔ PHẦN </w:t>
      </w:r>
    </w:p>
    <w:p w:rsidR="006E2C22" w:rsidRDefault="00F32A51">
      <w:pPr>
        <w:spacing w:after="130" w:line="259" w:lineRule="auto"/>
        <w:ind w:left="72" w:firstLine="0"/>
        <w:jc w:val="center"/>
      </w:pPr>
      <w:r>
        <w:rPr>
          <w:b/>
          <w:sz w:val="30"/>
        </w:rPr>
        <w:t xml:space="preserve"> </w:t>
      </w:r>
    </w:p>
    <w:p w:rsidR="006E2C22" w:rsidRDefault="00F32A51">
      <w:pPr>
        <w:spacing w:after="171"/>
      </w:pPr>
      <w:r>
        <w:rPr>
          <w:b/>
          <w:u w:val="single" w:color="000000"/>
        </w:rPr>
        <w:t>Bước 1:</w:t>
      </w:r>
      <w:r>
        <w:t xml:space="preserve"> Nhà đầu tư (NĐT) nhận và điền đầy đủ thông tin vào </w:t>
      </w:r>
      <w:r>
        <w:rPr>
          <w:b/>
        </w:rPr>
        <w:t>“Phiếu Đăng ký tham gia đấu giá mua cổ phần”</w:t>
      </w:r>
      <w:bookmarkStart w:id="0" w:name="_GoBack"/>
      <w:bookmarkEnd w:id="0"/>
      <w:r>
        <w:t xml:space="preserve"> </w:t>
      </w:r>
      <w:proofErr w:type="gramStart"/>
      <w:r>
        <w:t>theo</w:t>
      </w:r>
      <w:proofErr w:type="gramEnd"/>
      <w:r>
        <w:t xml:space="preserve"> mẫu của từng mã đấu giá (Mẫu biểu đính kèm thông báo/quy chế đấu giá). </w:t>
      </w:r>
    </w:p>
    <w:p w:rsidR="006E2C22" w:rsidRDefault="00F32A51">
      <w:pPr>
        <w:spacing w:after="170"/>
      </w:pPr>
      <w:r>
        <w:rPr>
          <w:b/>
          <w:u w:val="single" w:color="000000"/>
        </w:rPr>
        <w:t>Bước 2:</w:t>
      </w:r>
      <w:r>
        <w:t xml:space="preserve"> NĐT nộp tiền đặt cọc  </w:t>
      </w:r>
    </w:p>
    <w:p w:rsidR="006E2C22" w:rsidRDefault="00F32A51">
      <w:pPr>
        <w:ind w:left="355"/>
      </w:pPr>
      <w:r>
        <w:t>1.</w:t>
      </w:r>
      <w:r>
        <w:rPr>
          <w:rFonts w:ascii="Arial" w:eastAsia="Arial" w:hAnsi="Arial" w:cs="Arial"/>
        </w:rPr>
        <w:t xml:space="preserve"> </w:t>
      </w:r>
      <w:r>
        <w:t xml:space="preserve">NĐT nộp tiền đặt cọc (nộp tiền mặt hoặc chuyển khoản) đến tài khoản: </w:t>
      </w:r>
    </w:p>
    <w:p w:rsidR="006E2C22" w:rsidRDefault="00F32A51" w:rsidP="00796E9A">
      <w:pPr>
        <w:numPr>
          <w:ilvl w:val="0"/>
          <w:numId w:val="1"/>
        </w:numPr>
        <w:ind w:hanging="360"/>
      </w:pPr>
      <w:r>
        <w:rPr>
          <w:b/>
        </w:rPr>
        <w:t>Số tài khoản:</w:t>
      </w:r>
      <w:r>
        <w:t xml:space="preserve"> </w:t>
      </w:r>
      <w:r w:rsidR="00796E9A" w:rsidRPr="00796E9A">
        <w:t>1190132943</w:t>
      </w:r>
    </w:p>
    <w:p w:rsidR="006E2C22" w:rsidRDefault="00F32A51" w:rsidP="00796E9A">
      <w:pPr>
        <w:numPr>
          <w:ilvl w:val="0"/>
          <w:numId w:val="1"/>
        </w:numPr>
        <w:ind w:hanging="360"/>
      </w:pPr>
      <w:r>
        <w:rPr>
          <w:b/>
        </w:rPr>
        <w:t>Tên ngân hàng:</w:t>
      </w:r>
      <w:r>
        <w:t xml:space="preserve"> </w:t>
      </w:r>
      <w:r w:rsidR="00796E9A" w:rsidRPr="00796E9A">
        <w:t xml:space="preserve">BIDV – CN Nam Kỳ Khởi Nghĩa </w:t>
      </w:r>
      <w:r>
        <w:t xml:space="preserve">Gòn </w:t>
      </w:r>
    </w:p>
    <w:p w:rsidR="006E2C22" w:rsidRDefault="00F32A51">
      <w:pPr>
        <w:numPr>
          <w:ilvl w:val="0"/>
          <w:numId w:val="1"/>
        </w:numPr>
        <w:ind w:hanging="360"/>
      </w:pPr>
      <w:r>
        <w:rPr>
          <w:b/>
        </w:rPr>
        <w:t>Tên người thụ hưởng:</w:t>
      </w:r>
      <w:r>
        <w:t xml:space="preserve"> Công ty Cổ phần Chứng khoán Phú Hưng. </w:t>
      </w:r>
    </w:p>
    <w:p w:rsidR="006E2C22" w:rsidRDefault="00F32A51">
      <w:pPr>
        <w:numPr>
          <w:ilvl w:val="0"/>
          <w:numId w:val="1"/>
        </w:numPr>
        <w:ind w:hanging="360"/>
      </w:pPr>
      <w:r>
        <w:rPr>
          <w:b/>
        </w:rPr>
        <w:t>Nội dung:</w:t>
      </w:r>
      <w:r>
        <w:t xml:space="preserve"> &lt;Tên NĐT&gt; &lt;Số CMND&gt; nộp tiền đấu giá &lt;Số lượng cổ phiếu&gt; &lt;Tên tổ chức phát hành&gt; </w:t>
      </w:r>
    </w:p>
    <w:p w:rsidR="006E2C22" w:rsidRDefault="00F32A51">
      <w:pPr>
        <w:numPr>
          <w:ilvl w:val="0"/>
          <w:numId w:val="1"/>
        </w:numPr>
        <w:spacing w:after="169"/>
        <w:ind w:hanging="360"/>
      </w:pPr>
      <w:r>
        <w:rPr>
          <w:b/>
        </w:rPr>
        <w:t>Số tiền cọc phải nộp:</w:t>
      </w:r>
      <w:r>
        <w:t xml:space="preserve"> 10% tổng giá trị cổ phiếu đăng ký đấu giá tính </w:t>
      </w:r>
      <w:proofErr w:type="gramStart"/>
      <w:r>
        <w:t>theo</w:t>
      </w:r>
      <w:proofErr w:type="gramEnd"/>
      <w:r>
        <w:t xml:space="preserve"> giá khởi điểm. </w:t>
      </w:r>
    </w:p>
    <w:p w:rsidR="006E2C22" w:rsidRDefault="00F32A51">
      <w:pPr>
        <w:spacing w:after="176" w:line="259" w:lineRule="auto"/>
        <w:ind w:left="355"/>
        <w:jc w:val="left"/>
      </w:pPr>
      <w:r>
        <w:rPr>
          <w:b/>
          <w:i/>
        </w:rPr>
        <w:t xml:space="preserve">Ví dụ: Nguyễn Văn A – CMND số 123456789 – nộp tiền đấu giá 100 CP CTCP ABC </w:t>
      </w:r>
    </w:p>
    <w:p w:rsidR="006E2C22" w:rsidRDefault="00F32A51">
      <w:pPr>
        <w:spacing w:after="165"/>
        <w:ind w:left="705" w:hanging="360"/>
      </w:pPr>
      <w:r>
        <w:t>2.</w:t>
      </w:r>
      <w:r>
        <w:rPr>
          <w:rFonts w:ascii="Arial" w:eastAsia="Arial" w:hAnsi="Arial" w:cs="Arial"/>
        </w:rPr>
        <w:t xml:space="preserve"> </w:t>
      </w:r>
      <w:r>
        <w:t xml:space="preserve">Nếu NĐT có Tài khoản chứng khoán tại PHS và có đủ tiền trong tài khoản để nộp tiền cọc. Căn cứ Phiếu Đăng ký tham gia đấu giá, và NĐT có yêu cầu, PHS sẽ cắt tiền cọc (10% tổng giá trị cổ phiếu đăng ký đấu giá tính </w:t>
      </w:r>
      <w:proofErr w:type="gramStart"/>
      <w:r>
        <w:t>theo</w:t>
      </w:r>
      <w:proofErr w:type="gramEnd"/>
      <w:r>
        <w:t xml:space="preserve"> giá khởi điểm). </w:t>
      </w:r>
    </w:p>
    <w:p w:rsidR="006E2C22" w:rsidRDefault="00F32A51">
      <w:pPr>
        <w:spacing w:after="162"/>
      </w:pPr>
      <w:r>
        <w:rPr>
          <w:b/>
          <w:u w:val="single" w:color="000000"/>
        </w:rPr>
        <w:t>Bước 3:</w:t>
      </w:r>
      <w:r>
        <w:t xml:space="preserve"> Nộp hồ sơ đấu giá. </w:t>
      </w:r>
    </w:p>
    <w:p w:rsidR="006E2C22" w:rsidRDefault="00F32A51">
      <w:pPr>
        <w:spacing w:after="164"/>
      </w:pPr>
      <w:r>
        <w:t xml:space="preserve">NĐT nộp bộ hồ sơ đăng ký đấu giá cho Chi nhánh/Phòng Giao dịch (CN/PGD) của Công Ty Cổ Phần Chứng Khoán Phú Hưng (PHS), hồ sơ gồm có: </w:t>
      </w:r>
    </w:p>
    <w:p w:rsidR="006E2C22" w:rsidRDefault="00F32A51">
      <w:pPr>
        <w:spacing w:after="22" w:line="259" w:lineRule="auto"/>
        <w:ind w:left="355"/>
        <w:jc w:val="left"/>
      </w:pPr>
      <w:r>
        <w:rPr>
          <w:b/>
          <w:i/>
        </w:rPr>
        <w:t>1.</w:t>
      </w:r>
      <w:r>
        <w:rPr>
          <w:rFonts w:ascii="Arial" w:eastAsia="Arial" w:hAnsi="Arial" w:cs="Arial"/>
          <w:b/>
          <w:i/>
        </w:rPr>
        <w:t xml:space="preserve"> </w:t>
      </w:r>
      <w:r>
        <w:rPr>
          <w:b/>
          <w:i/>
        </w:rPr>
        <w:t xml:space="preserve">Đối với cá nhân: </w:t>
      </w:r>
    </w:p>
    <w:p w:rsidR="006E2C22" w:rsidRDefault="00F32A51">
      <w:pPr>
        <w:numPr>
          <w:ilvl w:val="0"/>
          <w:numId w:val="2"/>
        </w:numPr>
        <w:spacing w:after="26" w:line="259" w:lineRule="auto"/>
        <w:ind w:hanging="360"/>
      </w:pPr>
      <w:r>
        <w:t xml:space="preserve">01 bản chính </w:t>
      </w:r>
      <w:r>
        <w:rPr>
          <w:b/>
        </w:rPr>
        <w:t>“Phiếu Đăng ký tham gia đấu giá mua cổ phần”</w:t>
      </w:r>
      <w:r>
        <w:t>.</w:t>
      </w:r>
      <w:r>
        <w:rPr>
          <w:color w:val="FF0000"/>
        </w:rPr>
        <w:t xml:space="preserve"> </w:t>
      </w:r>
    </w:p>
    <w:p w:rsidR="006E2C22" w:rsidRDefault="00F32A51">
      <w:pPr>
        <w:numPr>
          <w:ilvl w:val="0"/>
          <w:numId w:val="2"/>
        </w:numPr>
        <w:ind w:hanging="360"/>
      </w:pPr>
      <w:r>
        <w:t>01 bản photo “Giấy nộp tiền mặt” hoặc “Ủy nhiệm chi” hoặc “In sao kê chuyển tiền online” thể hiện việc nộp tiền đặt cọc đấu giá.</w:t>
      </w:r>
      <w:r>
        <w:rPr>
          <w:color w:val="FF0000"/>
        </w:rPr>
        <w:t xml:space="preserve"> </w:t>
      </w:r>
    </w:p>
    <w:p w:rsidR="006E2C22" w:rsidRDefault="00F32A51">
      <w:pPr>
        <w:numPr>
          <w:ilvl w:val="0"/>
          <w:numId w:val="2"/>
        </w:numPr>
        <w:ind w:hanging="360"/>
      </w:pPr>
      <w:r>
        <w:t xml:space="preserve">01 bản photo CMND/Passport của NĐT. </w:t>
      </w:r>
    </w:p>
    <w:p w:rsidR="006E2C22" w:rsidRDefault="00F32A51">
      <w:pPr>
        <w:numPr>
          <w:ilvl w:val="0"/>
          <w:numId w:val="2"/>
        </w:numPr>
        <w:ind w:hanging="360"/>
      </w:pPr>
      <w:r>
        <w:t xml:space="preserve">01 bản sao y công chứng “Giấy ủy quyền”, kèm 01 bản photo CMND của người nhận ủy quyền (nếu có). </w:t>
      </w:r>
    </w:p>
    <w:p w:rsidR="006E2C22" w:rsidRDefault="00F32A51">
      <w:pPr>
        <w:spacing w:after="22" w:line="259" w:lineRule="auto"/>
        <w:ind w:left="355"/>
        <w:jc w:val="left"/>
      </w:pPr>
      <w:r>
        <w:rPr>
          <w:b/>
          <w:i/>
        </w:rPr>
        <w:t>2.</w:t>
      </w:r>
      <w:r>
        <w:rPr>
          <w:rFonts w:ascii="Arial" w:eastAsia="Arial" w:hAnsi="Arial" w:cs="Arial"/>
          <w:b/>
          <w:i/>
        </w:rPr>
        <w:t xml:space="preserve"> </w:t>
      </w:r>
      <w:r>
        <w:rPr>
          <w:b/>
          <w:i/>
        </w:rPr>
        <w:t xml:space="preserve">Đối với tổ chức: </w:t>
      </w:r>
    </w:p>
    <w:p w:rsidR="006E2C22" w:rsidRDefault="00F32A51">
      <w:pPr>
        <w:numPr>
          <w:ilvl w:val="0"/>
          <w:numId w:val="3"/>
        </w:numPr>
        <w:spacing w:after="26" w:line="259" w:lineRule="auto"/>
        <w:ind w:hanging="360"/>
      </w:pPr>
      <w:r>
        <w:t xml:space="preserve">01 bản chính </w:t>
      </w:r>
      <w:r>
        <w:rPr>
          <w:b/>
        </w:rPr>
        <w:t>“Phiếu Đăng ký tham gia đấu giá mua cổ phần”</w:t>
      </w:r>
      <w:r>
        <w:t xml:space="preserve">. </w:t>
      </w:r>
    </w:p>
    <w:p w:rsidR="006E2C22" w:rsidRDefault="00F32A51">
      <w:pPr>
        <w:numPr>
          <w:ilvl w:val="0"/>
          <w:numId w:val="3"/>
        </w:numPr>
        <w:ind w:hanging="360"/>
      </w:pPr>
      <w:r>
        <w:t xml:space="preserve">01 bản photo “Giấy nộp tiền mặt” hoặc “Ủy nhiệm chi” thể hiện việc nộp tiền đặt cọc đấu giá. </w:t>
      </w:r>
    </w:p>
    <w:p w:rsidR="006E2C22" w:rsidRDefault="00F32A51">
      <w:pPr>
        <w:numPr>
          <w:ilvl w:val="0"/>
          <w:numId w:val="3"/>
        </w:numPr>
        <w:ind w:hanging="360"/>
      </w:pPr>
      <w:r>
        <w:t xml:space="preserve">01 bản photo “Giấy phép Đăng ký kinh doanh.” </w:t>
      </w:r>
    </w:p>
    <w:p w:rsidR="006E2C22" w:rsidRDefault="00F32A51">
      <w:pPr>
        <w:numPr>
          <w:ilvl w:val="0"/>
          <w:numId w:val="3"/>
        </w:numPr>
        <w:ind w:hanging="360"/>
      </w:pPr>
      <w:r>
        <w:t xml:space="preserve">01 bản photo CMND của Người đại diện </w:t>
      </w:r>
      <w:proofErr w:type="gramStart"/>
      <w:r>
        <w:t>theo</w:t>
      </w:r>
      <w:proofErr w:type="gramEnd"/>
      <w:r>
        <w:t xml:space="preserve"> pháp luật. </w:t>
      </w:r>
    </w:p>
    <w:p w:rsidR="006E2C22" w:rsidRDefault="00F32A51">
      <w:pPr>
        <w:numPr>
          <w:ilvl w:val="0"/>
          <w:numId w:val="3"/>
        </w:numPr>
        <w:spacing w:after="12" w:line="275" w:lineRule="auto"/>
        <w:ind w:hanging="360"/>
      </w:pPr>
      <w:r>
        <w:t xml:space="preserve">01 bản photo “Giấy ủy quyền” </w:t>
      </w:r>
      <w:r>
        <w:rPr>
          <w:b/>
        </w:rPr>
        <w:t>(có mộc treo của tổ chức)</w:t>
      </w:r>
      <w:r>
        <w:t xml:space="preserve"> cho Người đại diện thay mặt tổ chức thực hiện đấu giá, kèm 01 bản photo CMND của Người đại diện thay mặt tổ chức đó (nếu có). </w:t>
      </w:r>
    </w:p>
    <w:p w:rsidR="006E2C22" w:rsidRDefault="00F32A51">
      <w:pPr>
        <w:spacing w:after="22" w:line="259" w:lineRule="auto"/>
        <w:ind w:left="355"/>
        <w:jc w:val="left"/>
      </w:pPr>
      <w:r>
        <w:rPr>
          <w:b/>
          <w:i/>
        </w:rPr>
        <w:t>3.</w:t>
      </w:r>
      <w:r>
        <w:rPr>
          <w:rFonts w:ascii="Arial" w:eastAsia="Arial" w:hAnsi="Arial" w:cs="Arial"/>
          <w:b/>
          <w:i/>
        </w:rPr>
        <w:t xml:space="preserve"> </w:t>
      </w:r>
      <w:r>
        <w:rPr>
          <w:b/>
          <w:i/>
        </w:rPr>
        <w:t xml:space="preserve">Đối với NĐT nước ngoài: </w:t>
      </w:r>
    </w:p>
    <w:p w:rsidR="006E2C22" w:rsidRDefault="00F32A51">
      <w:pPr>
        <w:numPr>
          <w:ilvl w:val="0"/>
          <w:numId w:val="4"/>
        </w:numPr>
        <w:ind w:hanging="360"/>
      </w:pPr>
      <w:r>
        <w:lastRenderedPageBreak/>
        <w:t xml:space="preserve">Ngoài những quy định như đối với NĐT trong nước, NĐT nước ngoài cần cung cấp xác nhận của tổ chức cung ứng dịch vụ thanh toán trên </w:t>
      </w:r>
      <w:r>
        <w:rPr>
          <w:b/>
        </w:rPr>
        <w:t>“Phiếu Đăng ký tham gia đấu giá mua cổ phần”</w:t>
      </w:r>
      <w:r>
        <w:t xml:space="preserve">.  </w:t>
      </w:r>
    </w:p>
    <w:p w:rsidR="006E2C22" w:rsidRDefault="00F32A51">
      <w:pPr>
        <w:numPr>
          <w:ilvl w:val="0"/>
          <w:numId w:val="4"/>
        </w:numPr>
        <w:ind w:hanging="360"/>
      </w:pPr>
      <w:r>
        <w:t xml:space="preserve">Tổ chức cung ứng dịch vụ thanh toán là Ngân hàng nơi NĐT nước ngoài mở tài khoản tiền giao dịch chứng khoán </w:t>
      </w:r>
      <w:proofErr w:type="gramStart"/>
      <w:r>
        <w:t>theo</w:t>
      </w:r>
      <w:proofErr w:type="gramEnd"/>
      <w:r>
        <w:t xml:space="preserve"> quy định. </w:t>
      </w:r>
    </w:p>
    <w:p w:rsidR="006E2C22" w:rsidRDefault="00F32A51">
      <w:pPr>
        <w:numPr>
          <w:ilvl w:val="0"/>
          <w:numId w:val="4"/>
        </w:numPr>
        <w:spacing w:after="198"/>
        <w:ind w:hanging="360"/>
      </w:pPr>
      <w:r>
        <w:t xml:space="preserve">PHS sẽ hỗ trợ NĐT nước ngoài </w:t>
      </w:r>
      <w:r>
        <w:rPr>
          <w:shd w:val="clear" w:color="auto" w:fill="FFFF00"/>
        </w:rPr>
        <w:t>(đã mở tài khoản tiền giao dịch chứng khoán tại BIDV)</w:t>
      </w:r>
      <w:r>
        <w:t xml:space="preserve"> xác nhận với Tổ chức cung ứng dịch vụ thanh toán là BIDV nếu NĐT có yêu cầu. </w:t>
      </w:r>
    </w:p>
    <w:p w:rsidR="006E2C22" w:rsidRDefault="00F32A51">
      <w:pPr>
        <w:spacing w:after="186" w:line="259" w:lineRule="auto"/>
        <w:ind w:left="730"/>
        <w:jc w:val="left"/>
      </w:pPr>
      <w:r>
        <w:rPr>
          <w:b/>
          <w:i/>
        </w:rPr>
        <w:t xml:space="preserve">Lưu ý: </w:t>
      </w:r>
    </w:p>
    <w:p w:rsidR="00D130CD" w:rsidRPr="00D130CD" w:rsidRDefault="00F32A51">
      <w:pPr>
        <w:numPr>
          <w:ilvl w:val="1"/>
          <w:numId w:val="4"/>
        </w:numPr>
        <w:spacing w:after="160" w:line="285" w:lineRule="auto"/>
        <w:ind w:hanging="360"/>
      </w:pPr>
      <w:r>
        <w:rPr>
          <w:i/>
        </w:rPr>
        <w:t xml:space="preserve">“Hồ sơ Tham gia đấu giá” hợp lệ là bộ hồ sơ bao gồm các giấy tờ trên, không </w:t>
      </w:r>
      <w:proofErr w:type="gramStart"/>
      <w:r>
        <w:rPr>
          <w:i/>
        </w:rPr>
        <w:t xml:space="preserve">được </w:t>
      </w:r>
      <w:r w:rsidR="00D130CD">
        <w:rPr>
          <w:i/>
        </w:rPr>
        <w:t xml:space="preserve"> </w:t>
      </w:r>
      <w:r>
        <w:rPr>
          <w:i/>
        </w:rPr>
        <w:t>tẩy</w:t>
      </w:r>
      <w:proofErr w:type="gramEnd"/>
      <w:r>
        <w:rPr>
          <w:i/>
        </w:rPr>
        <w:t xml:space="preserve"> xóa, rách nát. </w:t>
      </w:r>
    </w:p>
    <w:p w:rsidR="006E2C22" w:rsidRDefault="00F32A51">
      <w:pPr>
        <w:numPr>
          <w:ilvl w:val="1"/>
          <w:numId w:val="4"/>
        </w:numPr>
        <w:spacing w:after="160" w:line="285" w:lineRule="auto"/>
        <w:ind w:hanging="360"/>
      </w:pPr>
      <w:r>
        <w:rPr>
          <w:i/>
        </w:rPr>
        <w:t xml:space="preserve">NĐT phải điền đầy đủ thông tin trong “Phiếu đăng ký tham gia đấu giá mua cổ phần”. </w:t>
      </w:r>
    </w:p>
    <w:p w:rsidR="006E2C22" w:rsidRDefault="00F32A51">
      <w:pPr>
        <w:spacing w:after="182" w:line="259" w:lineRule="auto"/>
        <w:jc w:val="left"/>
      </w:pPr>
      <w:r>
        <w:rPr>
          <w:b/>
          <w:u w:val="single" w:color="000000"/>
        </w:rPr>
        <w:t>Bước 4:</w:t>
      </w:r>
      <w:r>
        <w:t xml:space="preserve"> NĐT nhận </w:t>
      </w:r>
      <w:r>
        <w:rPr>
          <w:b/>
        </w:rPr>
        <w:t xml:space="preserve">“Phiếu tham dư đấu giá”. </w:t>
      </w:r>
    </w:p>
    <w:p w:rsidR="006E2C22" w:rsidRDefault="00F32A51">
      <w:pPr>
        <w:numPr>
          <w:ilvl w:val="0"/>
          <w:numId w:val="4"/>
        </w:numPr>
        <w:ind w:hanging="360"/>
      </w:pPr>
      <w:r>
        <w:t xml:space="preserve">Sau khi NĐT hoàn tất thủ tục đăng ký tham gia đấu giá và chuyển tiền cọc, PHS sẽ gửi cho NĐT 01 </w:t>
      </w:r>
      <w:r>
        <w:rPr>
          <w:b/>
        </w:rPr>
        <w:t>“Phiếu tham dự đấu giá”</w:t>
      </w:r>
      <w:r>
        <w:t xml:space="preserve"> có dấu treo của PHS.  </w:t>
      </w:r>
    </w:p>
    <w:p w:rsidR="006E2C22" w:rsidRDefault="00F32A51">
      <w:pPr>
        <w:numPr>
          <w:ilvl w:val="0"/>
          <w:numId w:val="4"/>
        </w:numPr>
        <w:spacing w:after="172"/>
        <w:ind w:hanging="360"/>
      </w:pPr>
      <w:r>
        <w:t xml:space="preserve">NĐT có trách nhiệm bảo quản </w:t>
      </w:r>
      <w:r>
        <w:rPr>
          <w:b/>
        </w:rPr>
        <w:t>“Phiếu tham dự đấu giá”</w:t>
      </w:r>
      <w:r>
        <w:t xml:space="preserve"> không bị tẩy xóa hoặc rách nát. </w:t>
      </w:r>
    </w:p>
    <w:p w:rsidR="006E2C22" w:rsidRDefault="00F32A51">
      <w:pPr>
        <w:spacing w:after="175"/>
      </w:pPr>
      <w:r>
        <w:rPr>
          <w:b/>
          <w:u w:val="single" w:color="000000"/>
        </w:rPr>
        <w:t>Bước 5:</w:t>
      </w:r>
      <w:r>
        <w:t xml:space="preserve"> Đặt giá trên </w:t>
      </w:r>
      <w:r>
        <w:rPr>
          <w:b/>
        </w:rPr>
        <w:t xml:space="preserve">“Phiếu tham dự đấu giá” </w:t>
      </w:r>
      <w:r>
        <w:t xml:space="preserve">có mộc treo của PHS. </w:t>
      </w:r>
    </w:p>
    <w:p w:rsidR="006E2C22" w:rsidRDefault="00F32A51">
      <w:pPr>
        <w:numPr>
          <w:ilvl w:val="0"/>
          <w:numId w:val="4"/>
        </w:numPr>
        <w:spacing w:after="31"/>
        <w:ind w:hanging="360"/>
      </w:pPr>
      <w:r>
        <w:t xml:space="preserve">NĐT cần đọc kỹ “Quy chế đấu giá” của từng đợt đấu giá, những điểm cần lưu ý: </w:t>
      </w:r>
    </w:p>
    <w:p w:rsidR="006E2C22" w:rsidRDefault="00F32A51">
      <w:pPr>
        <w:numPr>
          <w:ilvl w:val="1"/>
          <w:numId w:val="4"/>
        </w:numPr>
        <w:spacing w:after="41"/>
        <w:ind w:hanging="360"/>
      </w:pPr>
      <w:r>
        <w:rPr>
          <w:b/>
        </w:rPr>
        <w:t>Giá đặt mua:</w:t>
      </w:r>
      <w:r>
        <w:t xml:space="preserve"> Không được thấp hơn giá khởi điểm. </w:t>
      </w:r>
    </w:p>
    <w:p w:rsidR="00762BCA" w:rsidRDefault="00F32A51">
      <w:pPr>
        <w:numPr>
          <w:ilvl w:val="1"/>
          <w:numId w:val="4"/>
        </w:numPr>
        <w:ind w:hanging="360"/>
      </w:pPr>
      <w:r>
        <w:rPr>
          <w:b/>
        </w:rPr>
        <w:t>Khối lượng đặt mua:</w:t>
      </w:r>
      <w:r>
        <w:t xml:space="preserve"> Tổng khối lượng đặt mua không được lớn hơn khối lượng đã đăng ký.</w:t>
      </w:r>
    </w:p>
    <w:p w:rsidR="006E2C22" w:rsidRPr="00762BCA" w:rsidRDefault="00F32A51" w:rsidP="00762BCA">
      <w:pPr>
        <w:numPr>
          <w:ilvl w:val="1"/>
          <w:numId w:val="4"/>
        </w:numPr>
        <w:ind w:hanging="360"/>
        <w:rPr>
          <w:b/>
        </w:rPr>
      </w:pPr>
      <w:r>
        <w:rPr>
          <w:b/>
        </w:rPr>
        <w:t>Bước giá:</w:t>
      </w:r>
      <w:r w:rsidRPr="00762BCA">
        <w:rPr>
          <w:b/>
        </w:rPr>
        <w:t xml:space="preserve"> </w:t>
      </w:r>
      <w:r w:rsidRPr="005F695D">
        <w:t>Theo quy định của “Quy chế đấu giá”.</w:t>
      </w:r>
      <w:r w:rsidRPr="00762BCA">
        <w:rPr>
          <w:b/>
        </w:rPr>
        <w:t xml:space="preserve"> </w:t>
      </w:r>
    </w:p>
    <w:p w:rsidR="006E2C22" w:rsidRDefault="00F32A51">
      <w:pPr>
        <w:numPr>
          <w:ilvl w:val="1"/>
          <w:numId w:val="4"/>
        </w:numPr>
        <w:spacing w:after="27"/>
        <w:ind w:hanging="360"/>
      </w:pPr>
      <w:r>
        <w:rPr>
          <w:b/>
        </w:rPr>
        <w:t>Chữ ký xác nhận:</w:t>
      </w:r>
      <w:r>
        <w:t xml:space="preserve"> phải giống nhau ở tất cả các chứng từ. </w:t>
      </w:r>
    </w:p>
    <w:p w:rsidR="006E2C22" w:rsidRDefault="00F32A51">
      <w:pPr>
        <w:numPr>
          <w:ilvl w:val="0"/>
          <w:numId w:val="4"/>
        </w:numPr>
        <w:spacing w:after="29"/>
        <w:ind w:hanging="360"/>
      </w:pPr>
      <w:r>
        <w:t xml:space="preserve">Mỗi NĐT chỉ được phát một </w:t>
      </w:r>
      <w:r>
        <w:rPr>
          <w:b/>
        </w:rPr>
        <w:t>“Phiếu tham dự đấu giá”</w:t>
      </w:r>
      <w:r>
        <w:t xml:space="preserve"> và ghi đầy đủ các thông tin trên Phiếu theo nguyên tắc:  </w:t>
      </w:r>
    </w:p>
    <w:p w:rsidR="006E2C22" w:rsidRDefault="00F32A51">
      <w:pPr>
        <w:numPr>
          <w:ilvl w:val="1"/>
          <w:numId w:val="4"/>
        </w:numPr>
        <w:spacing w:after="29"/>
        <w:ind w:hanging="360"/>
      </w:pPr>
      <w:r>
        <w:t xml:space="preserve">Giá cao hơn đặt trước </w:t>
      </w:r>
    </w:p>
    <w:p w:rsidR="006E2C22" w:rsidRDefault="00F32A51">
      <w:pPr>
        <w:numPr>
          <w:ilvl w:val="1"/>
          <w:numId w:val="4"/>
        </w:numPr>
        <w:spacing w:after="169"/>
        <w:ind w:hanging="360"/>
      </w:pPr>
      <w:r>
        <w:t xml:space="preserve">Tổng khối lượng đặt mua cùng các mức giá phải đúng bằng tổng khối lượng cổ phần đã đăng ký trước đó. Ngoại trừ trường hợp Quy chế đấu giá có quy định khác. </w:t>
      </w:r>
    </w:p>
    <w:p w:rsidR="006E2C22" w:rsidRDefault="00F32A51">
      <w:pPr>
        <w:spacing w:after="175" w:line="259" w:lineRule="auto"/>
        <w:jc w:val="left"/>
      </w:pPr>
      <w:r>
        <w:rPr>
          <w:b/>
          <w:u w:val="single" w:color="000000"/>
        </w:rPr>
        <w:t>Bước 6:</w:t>
      </w:r>
      <w:r>
        <w:rPr>
          <w:b/>
        </w:rPr>
        <w:t xml:space="preserve"> </w:t>
      </w:r>
      <w:r>
        <w:t xml:space="preserve">Nộp </w:t>
      </w:r>
      <w:r>
        <w:rPr>
          <w:b/>
        </w:rPr>
        <w:t xml:space="preserve">“Phiếu tham dự đấu giá” </w:t>
      </w:r>
    </w:p>
    <w:p w:rsidR="006E2C22" w:rsidRDefault="00F32A51">
      <w:pPr>
        <w:numPr>
          <w:ilvl w:val="0"/>
          <w:numId w:val="4"/>
        </w:numPr>
        <w:spacing w:after="26" w:line="259" w:lineRule="auto"/>
        <w:ind w:hanging="360"/>
      </w:pPr>
      <w:r>
        <w:t xml:space="preserve">Cách thức nộp </w:t>
      </w:r>
      <w:r>
        <w:rPr>
          <w:b/>
        </w:rPr>
        <w:t>“Phiếu tham dự đấu giá”</w:t>
      </w:r>
      <w:r>
        <w:t xml:space="preserve">: </w:t>
      </w:r>
    </w:p>
    <w:p w:rsidR="006E2C22" w:rsidRDefault="00B464AA">
      <w:pPr>
        <w:numPr>
          <w:ilvl w:val="1"/>
          <w:numId w:val="4"/>
        </w:numPr>
        <w:ind w:hanging="360"/>
      </w:pPr>
      <w:r>
        <w:t>Nộp</w:t>
      </w:r>
      <w:r w:rsidR="00F32A51">
        <w:t xml:space="preserve"> “Phiếu tham dự đấu giá” tại </w:t>
      </w:r>
      <w:r>
        <w:rPr>
          <w:szCs w:val="24"/>
        </w:rPr>
        <w:t>Sở giao dịch chứng khoán Hà Nội</w:t>
      </w:r>
      <w:r w:rsidR="00F32A51">
        <w:t xml:space="preserve"> </w:t>
      </w:r>
      <w:r w:rsidR="00F32A51">
        <w:rPr>
          <w:szCs w:val="24"/>
          <w:lang w:val="vi-VN"/>
        </w:rPr>
        <w:t xml:space="preserve">(Địa chỉ: </w:t>
      </w:r>
      <w:r w:rsidR="00F32A51" w:rsidRPr="003F5E1C">
        <w:rPr>
          <w:szCs w:val="24"/>
          <w:lang w:val="vi-VN"/>
        </w:rPr>
        <w:t>Số 02 Phan Chu Trinh, Quận Hoàn Kiếm, TP. Hà Nội)</w:t>
      </w:r>
    </w:p>
    <w:p w:rsidR="006E2C22" w:rsidRDefault="00F32A51">
      <w:pPr>
        <w:numPr>
          <w:ilvl w:val="0"/>
          <w:numId w:val="4"/>
        </w:numPr>
        <w:spacing w:after="155"/>
        <w:ind w:hanging="360"/>
      </w:pPr>
      <w:r>
        <w:rPr>
          <w:b/>
        </w:rPr>
        <w:t>“Phiếu tham dự đấu giá”</w:t>
      </w:r>
      <w:r>
        <w:t xml:space="preserve"> phải được bỏ trong phong bì niêm phong, có chữ ký của chính NĐT trên mép niêm phong. </w:t>
      </w:r>
    </w:p>
    <w:p w:rsidR="006E2C22" w:rsidRDefault="00F32A51">
      <w:pPr>
        <w:spacing w:after="179"/>
      </w:pPr>
      <w:r>
        <w:rPr>
          <w:b/>
          <w:u w:val="single" w:color="000000"/>
        </w:rPr>
        <w:t>Bước 7:</w:t>
      </w:r>
      <w:r>
        <w:t xml:space="preserve"> Tổ chức cuộc đấu giá tại Sở Giao Dịch Chứng Khoán </w:t>
      </w:r>
    </w:p>
    <w:p w:rsidR="006E2C22" w:rsidRDefault="00F32A51">
      <w:pPr>
        <w:numPr>
          <w:ilvl w:val="0"/>
          <w:numId w:val="4"/>
        </w:numPr>
        <w:ind w:hanging="360"/>
      </w:pPr>
      <w:r>
        <w:t xml:space="preserve">Sở Giao Dịch Chứng Khoán tổ chức cuộc đấu giá vào đúng thời điểm đấu giá đã được công bố. </w:t>
      </w:r>
    </w:p>
    <w:p w:rsidR="006E2C22" w:rsidRDefault="00F32A51">
      <w:pPr>
        <w:numPr>
          <w:ilvl w:val="0"/>
          <w:numId w:val="4"/>
        </w:numPr>
        <w:spacing w:after="158"/>
        <w:ind w:hanging="360"/>
      </w:pPr>
      <w:r>
        <w:lastRenderedPageBreak/>
        <w:t xml:space="preserve">NĐT có thể kiểm tra kết quả đấu giá trên trang web của Sở ngay khi đợt đấu giá kết thúc. </w:t>
      </w:r>
    </w:p>
    <w:p w:rsidR="006E2C22" w:rsidRDefault="00F32A51">
      <w:pPr>
        <w:spacing w:after="158" w:line="259" w:lineRule="auto"/>
        <w:ind w:left="0" w:firstLine="0"/>
        <w:jc w:val="left"/>
      </w:pPr>
      <w:r>
        <w:rPr>
          <w:b/>
        </w:rPr>
        <w:t xml:space="preserve"> </w:t>
      </w:r>
    </w:p>
    <w:p w:rsidR="006E2C22" w:rsidRDefault="00F32A51">
      <w:pPr>
        <w:spacing w:after="0" w:line="259" w:lineRule="auto"/>
        <w:ind w:left="0" w:firstLine="0"/>
        <w:jc w:val="left"/>
      </w:pPr>
      <w:r>
        <w:rPr>
          <w:b/>
        </w:rPr>
        <w:t xml:space="preserve"> </w:t>
      </w:r>
    </w:p>
    <w:p w:rsidR="006E2C22" w:rsidRDefault="00F32A51">
      <w:pPr>
        <w:spacing w:after="162"/>
      </w:pPr>
      <w:r>
        <w:rPr>
          <w:b/>
          <w:u w:val="single" w:color="000000"/>
        </w:rPr>
        <w:t>Bước 8:</w:t>
      </w:r>
      <w:r>
        <w:t xml:space="preserve"> Thông báo tới NĐT kết quả đấu giá </w:t>
      </w:r>
    </w:p>
    <w:p w:rsidR="006E2C22" w:rsidRDefault="00F32A51">
      <w:pPr>
        <w:numPr>
          <w:ilvl w:val="0"/>
          <w:numId w:val="4"/>
        </w:numPr>
        <w:ind w:hanging="360"/>
      </w:pPr>
      <w:r>
        <w:t xml:space="preserve">Ngay sau khi nhận được kết quả đấu giá chi tiết từ Sở Giao Dịch Chứng Khoán, PHS sẽ thông báo qua email hoặc gọi tới số điện thoại của Khách hàng đã đăng ký để thông báo kết quả đấu giá. </w:t>
      </w:r>
    </w:p>
    <w:p w:rsidR="006E2C22" w:rsidRDefault="00F32A51">
      <w:pPr>
        <w:numPr>
          <w:ilvl w:val="0"/>
          <w:numId w:val="4"/>
        </w:numPr>
        <w:spacing w:after="154"/>
        <w:ind w:hanging="360"/>
      </w:pPr>
      <w:r>
        <w:t xml:space="preserve">NĐT nhận kết quả đấu giá trực tiếp tại CN/PGD của PHS hoặc PHS gửi bản scan Thông báo trúng đấu giá qua email đăng ký của NĐT. </w:t>
      </w:r>
    </w:p>
    <w:p w:rsidR="006E2C22" w:rsidRDefault="00F32A51">
      <w:pPr>
        <w:spacing w:after="183"/>
      </w:pPr>
      <w:r>
        <w:rPr>
          <w:b/>
          <w:u w:val="single" w:color="000000"/>
        </w:rPr>
        <w:t>Bước 9:</w:t>
      </w:r>
      <w:r>
        <w:rPr>
          <w:b/>
        </w:rPr>
        <w:t xml:space="preserve"> </w:t>
      </w:r>
      <w:r>
        <w:t xml:space="preserve">Thanh toán tiền mua cổ phiếu sau khi đấu giá thành công </w:t>
      </w:r>
    </w:p>
    <w:p w:rsidR="006E2C22" w:rsidRDefault="00F32A51">
      <w:pPr>
        <w:numPr>
          <w:ilvl w:val="0"/>
          <w:numId w:val="4"/>
        </w:numPr>
        <w:ind w:hanging="360"/>
      </w:pPr>
      <w:r>
        <w:t xml:space="preserve">Trường hợp NĐT trúng đấu giá: </w:t>
      </w:r>
    </w:p>
    <w:p w:rsidR="006E2C22" w:rsidRDefault="00F32A51">
      <w:pPr>
        <w:numPr>
          <w:ilvl w:val="1"/>
          <w:numId w:val="4"/>
        </w:numPr>
        <w:spacing w:after="26" w:line="259" w:lineRule="auto"/>
        <w:ind w:hanging="360"/>
      </w:pPr>
      <w:r>
        <w:rPr>
          <w:b/>
        </w:rPr>
        <w:t>Mua hết số lượng cổ phiếu trúng đấu giá:</w:t>
      </w:r>
      <w:r>
        <w:t xml:space="preserve">  </w:t>
      </w:r>
    </w:p>
    <w:tbl>
      <w:tblPr>
        <w:tblStyle w:val="TableGrid"/>
        <w:tblpPr w:vertAnchor="text" w:tblpX="1800" w:tblpY="-32"/>
        <w:tblOverlap w:val="never"/>
        <w:tblW w:w="360" w:type="dxa"/>
        <w:tblInd w:w="0" w:type="dxa"/>
        <w:tblCellMar>
          <w:top w:w="21" w:type="dxa"/>
          <w:right w:w="115" w:type="dxa"/>
        </w:tblCellMar>
        <w:tblLook w:val="04A0" w:firstRow="1" w:lastRow="0" w:firstColumn="1" w:lastColumn="0" w:noHBand="0" w:noVBand="1"/>
      </w:tblPr>
      <w:tblGrid>
        <w:gridCol w:w="360"/>
      </w:tblGrid>
      <w:tr w:rsidR="006E2C22" w:rsidRPr="00B3042E">
        <w:trPr>
          <w:trHeight w:val="276"/>
        </w:trPr>
        <w:tc>
          <w:tcPr>
            <w:tcW w:w="360" w:type="dxa"/>
            <w:tcBorders>
              <w:top w:val="nil"/>
              <w:left w:val="nil"/>
              <w:bottom w:val="nil"/>
              <w:right w:val="nil"/>
            </w:tcBorders>
            <w:shd w:val="clear" w:color="auto" w:fill="FFFF00"/>
          </w:tcPr>
          <w:p w:rsidR="006E2C22" w:rsidRPr="00B3042E" w:rsidRDefault="00F32A51">
            <w:pPr>
              <w:spacing w:after="0" w:line="259" w:lineRule="auto"/>
              <w:ind w:left="0" w:firstLine="0"/>
              <w:jc w:val="left"/>
            </w:pPr>
            <w:r w:rsidRPr="00B3042E">
              <w:rPr>
                <w:rFonts w:ascii="Wingdings" w:eastAsia="Wingdings" w:hAnsi="Wingdings" w:cs="Wingdings"/>
              </w:rPr>
              <w:t></w:t>
            </w:r>
            <w:r w:rsidRPr="00B3042E">
              <w:rPr>
                <w:rFonts w:ascii="Arial" w:eastAsia="Arial" w:hAnsi="Arial" w:cs="Arial"/>
              </w:rPr>
              <w:t xml:space="preserve"> </w:t>
            </w:r>
          </w:p>
        </w:tc>
      </w:tr>
    </w:tbl>
    <w:p w:rsidR="006E2C22" w:rsidRDefault="00F32A51">
      <w:pPr>
        <w:ind w:left="2170"/>
      </w:pPr>
      <w:r w:rsidRPr="00B3042E">
        <w:t>Trong</w:t>
      </w:r>
      <w:r>
        <w:t xml:space="preserve"> thời gian thanh toán đã công bố cho từng đợt đấu giá, NĐT cần chuyển số tiền còn thiếu vào tài khoản nhận tiền đấu giá của PHS mở tại Eximbank – CN Sài Gòn số TK: 1401 14851 00 2285.  </w:t>
      </w:r>
    </w:p>
    <w:p w:rsidR="006E2C22" w:rsidRDefault="00F32A51">
      <w:pPr>
        <w:numPr>
          <w:ilvl w:val="2"/>
          <w:numId w:val="4"/>
        </w:numPr>
        <w:ind w:hanging="360"/>
      </w:pPr>
      <w:r>
        <w:t xml:space="preserve">Nếu quá thời gian mà NĐT không nộp đủ tiền sẽ bị mất toàn bộ tiền cọc (coi như NĐT bỏ cọc). </w:t>
      </w:r>
    </w:p>
    <w:p w:rsidR="006E2C22" w:rsidRDefault="00F32A51">
      <w:pPr>
        <w:numPr>
          <w:ilvl w:val="1"/>
          <w:numId w:val="4"/>
        </w:numPr>
        <w:spacing w:after="12" w:line="275" w:lineRule="auto"/>
        <w:ind w:hanging="360"/>
      </w:pPr>
      <w:r>
        <w:rPr>
          <w:b/>
        </w:rPr>
        <w:t>Không mua hết số lượng cổ phiếu trúng đấu giá:</w:t>
      </w:r>
      <w:r>
        <w:t xml:space="preserve"> Tùy </w:t>
      </w:r>
      <w:proofErr w:type="gramStart"/>
      <w:r>
        <w:t>theo</w:t>
      </w:r>
      <w:proofErr w:type="gramEnd"/>
      <w:r>
        <w:t xml:space="preserve"> “Quy chế đấu giá” của Công ty đấu giá bán cổ phần, NĐT có thể bị mất toàn bộ hoặc một phần tiền cọc. </w:t>
      </w:r>
    </w:p>
    <w:p w:rsidR="006E2C22" w:rsidRDefault="00F32A51">
      <w:pPr>
        <w:numPr>
          <w:ilvl w:val="0"/>
          <w:numId w:val="4"/>
        </w:numPr>
        <w:ind w:hanging="360"/>
      </w:pPr>
      <w:r>
        <w:t xml:space="preserve">Trường hợp NĐT không trúng đấu giá: </w:t>
      </w:r>
    </w:p>
    <w:p w:rsidR="006E2C22" w:rsidRDefault="00F32A51">
      <w:pPr>
        <w:numPr>
          <w:ilvl w:val="1"/>
          <w:numId w:val="4"/>
        </w:numPr>
        <w:spacing w:after="26" w:line="259" w:lineRule="auto"/>
        <w:ind w:hanging="360"/>
      </w:pPr>
      <w:r>
        <w:rPr>
          <w:b/>
        </w:rPr>
        <w:t>“Phiếu tham dự đấu giá”</w:t>
      </w:r>
      <w:r>
        <w:t xml:space="preserve"> hợp lệ:  </w:t>
      </w:r>
    </w:p>
    <w:p w:rsidR="006E2C22" w:rsidRDefault="00F32A51">
      <w:pPr>
        <w:numPr>
          <w:ilvl w:val="2"/>
          <w:numId w:val="4"/>
        </w:numPr>
        <w:ind w:hanging="360"/>
      </w:pPr>
      <w:r>
        <w:t xml:space="preserve">PHS sẽ chuyển trả lại tiền cọc cho NĐT theo đúng thời gian quy định trong “Quy chế đấu giá” vào tài khoản ngân hàng NĐT đã đăng ký. </w:t>
      </w:r>
    </w:p>
    <w:p w:rsidR="006E2C22" w:rsidRDefault="00F32A51">
      <w:pPr>
        <w:numPr>
          <w:ilvl w:val="2"/>
          <w:numId w:val="4"/>
        </w:numPr>
        <w:spacing w:after="15" w:line="259" w:lineRule="auto"/>
        <w:ind w:hanging="360"/>
      </w:pPr>
      <w:r>
        <w:t xml:space="preserve">Phí chuyển tiền (nếu có) sẽ được trừ vào số tiền cọc chuyển lại cho KH. </w:t>
      </w:r>
    </w:p>
    <w:p w:rsidR="006E2C22" w:rsidRDefault="00F32A51">
      <w:pPr>
        <w:numPr>
          <w:ilvl w:val="1"/>
          <w:numId w:val="4"/>
        </w:numPr>
        <w:spacing w:after="147"/>
        <w:ind w:hanging="360"/>
      </w:pPr>
      <w:r>
        <w:rPr>
          <w:b/>
        </w:rPr>
        <w:t>“Phiếu tham dự đấu giá”</w:t>
      </w:r>
      <w:r>
        <w:t xml:space="preserve"> không hợp lệ </w:t>
      </w:r>
      <w:proofErr w:type="gramStart"/>
      <w:r>
        <w:t>theo</w:t>
      </w:r>
      <w:proofErr w:type="gramEnd"/>
      <w:r>
        <w:t xml:space="preserve"> Quy chế đấu giá: tiền cọc sẽ được xử lý theo quy định trong “Quy chế đấu giá”. </w:t>
      </w:r>
    </w:p>
    <w:p w:rsidR="006E2C22" w:rsidRDefault="00F32A51">
      <w:pPr>
        <w:spacing w:after="181" w:line="259" w:lineRule="auto"/>
        <w:ind w:left="0" w:firstLine="0"/>
        <w:jc w:val="left"/>
      </w:pPr>
      <w:r>
        <w:rPr>
          <w:b/>
          <w:u w:val="single" w:color="000000"/>
        </w:rPr>
        <w:t>CHÚ Ý:</w:t>
      </w:r>
      <w:r>
        <w:rPr>
          <w:b/>
        </w:rPr>
        <w:t xml:space="preserve"> </w:t>
      </w:r>
    </w:p>
    <w:p w:rsidR="006E2C22" w:rsidRDefault="00F32A51">
      <w:pPr>
        <w:numPr>
          <w:ilvl w:val="0"/>
          <w:numId w:val="4"/>
        </w:numPr>
        <w:ind w:hanging="360"/>
      </w:pPr>
      <w:r>
        <w:t xml:space="preserve">Nếu NĐT có Tài khoản Chứng khoán tại PHS và đủ tiền trong tài khoản để thanh toán tiền trúng đấu giá. Căn cứ Thông báo trúng đấu giá, và NĐT có yêu cầu, PHS sẽ cắt tiền thanh toán trong tài khoản của NĐT. </w:t>
      </w:r>
    </w:p>
    <w:p w:rsidR="006E2C22" w:rsidRDefault="00F32A51">
      <w:pPr>
        <w:numPr>
          <w:ilvl w:val="0"/>
          <w:numId w:val="4"/>
        </w:numPr>
        <w:ind w:hanging="360"/>
      </w:pPr>
      <w:r>
        <w:t xml:space="preserve">Chữ ký của NĐT trong “Phiếu Đăng ký tham gia đấu giá mua cổ phần”, “Phiếu tham dự đấu giá”, “Giấy ủy quyền” phải giống nhau, NĐT phải chịu trách nhiệm với Sở Giao Dịch Chứng Khoán khi có sự khác biệt. </w:t>
      </w:r>
    </w:p>
    <w:p w:rsidR="006E2C22" w:rsidRDefault="00F32A51">
      <w:pPr>
        <w:numPr>
          <w:ilvl w:val="0"/>
          <w:numId w:val="4"/>
        </w:numPr>
        <w:ind w:hanging="360"/>
      </w:pPr>
      <w:r>
        <w:t xml:space="preserve">NĐT nên ghi số điện thoại và địa chỉ để dễ liên lạc nhất </w:t>
      </w:r>
    </w:p>
    <w:p w:rsidR="006E2C22" w:rsidRDefault="00F32A51">
      <w:pPr>
        <w:numPr>
          <w:ilvl w:val="0"/>
          <w:numId w:val="4"/>
        </w:numPr>
        <w:ind w:hanging="360"/>
      </w:pPr>
      <w:r>
        <w:t xml:space="preserve">PHS sẽ không chịu trách nhiệm giải quyết trong các trường hợp sau: </w:t>
      </w:r>
    </w:p>
    <w:p w:rsidR="006E2C22" w:rsidRDefault="00F32A51">
      <w:pPr>
        <w:numPr>
          <w:ilvl w:val="1"/>
          <w:numId w:val="4"/>
        </w:numPr>
        <w:spacing w:after="25"/>
        <w:ind w:hanging="360"/>
      </w:pPr>
      <w:r>
        <w:t xml:space="preserve">NĐT chuyển tiền muộn hơn thời gian quy định trong “Quy chế đấu giá”. </w:t>
      </w:r>
    </w:p>
    <w:p w:rsidR="006E2C22" w:rsidRDefault="00F32A51" w:rsidP="00AD3049">
      <w:pPr>
        <w:numPr>
          <w:ilvl w:val="1"/>
          <w:numId w:val="4"/>
        </w:numPr>
        <w:ind w:hanging="360"/>
      </w:pPr>
      <w:r>
        <w:t xml:space="preserve">NĐT tham dự đấu giá sai quy chế, nếu xảy ra sai, NĐT sẽ bị mất tiền cọc </w:t>
      </w:r>
      <w:proofErr w:type="gramStart"/>
      <w:r>
        <w:t>theo</w:t>
      </w:r>
      <w:proofErr w:type="gramEnd"/>
      <w:r>
        <w:t xml:space="preserve"> </w:t>
      </w:r>
      <w:r w:rsidR="00AD3049">
        <w:t>quy định trong Quy chế đấu giá.</w:t>
      </w:r>
    </w:p>
    <w:p w:rsidR="006E2C22" w:rsidRDefault="00F32A51">
      <w:pPr>
        <w:spacing w:after="3" w:line="259" w:lineRule="auto"/>
        <w:ind w:left="715"/>
        <w:jc w:val="left"/>
      </w:pPr>
      <w:r>
        <w:rPr>
          <w:b/>
          <w:sz w:val="22"/>
        </w:rPr>
        <w:t xml:space="preserve">Để biết thêm thông tin chi tiết, Quý khách vui lòng liên hệ: </w:t>
      </w:r>
    </w:p>
    <w:p w:rsidR="006E2C22" w:rsidRDefault="00F32A51">
      <w:pPr>
        <w:spacing w:after="3" w:line="259" w:lineRule="auto"/>
        <w:ind w:left="715"/>
        <w:jc w:val="left"/>
      </w:pPr>
      <w:r>
        <w:rPr>
          <w:b/>
          <w:sz w:val="22"/>
        </w:rPr>
        <w:lastRenderedPageBreak/>
        <w:t xml:space="preserve">Tổng đài Dịch vụ Khách hàng – Customer Service: </w:t>
      </w:r>
      <w:r w:rsidR="00D66EDE">
        <w:rPr>
          <w:b/>
          <w:sz w:val="22"/>
        </w:rPr>
        <w:t>1900 25 23 58</w:t>
      </w:r>
      <w:r>
        <w:rPr>
          <w:b/>
          <w:sz w:val="22"/>
        </w:rPr>
        <w:t xml:space="preserve"> </w:t>
      </w:r>
    </w:p>
    <w:p w:rsidR="006E2C22" w:rsidRDefault="00F32A51">
      <w:pPr>
        <w:spacing w:after="0" w:line="259" w:lineRule="auto"/>
        <w:ind w:left="720" w:firstLine="0"/>
        <w:jc w:val="left"/>
      </w:pPr>
      <w:r>
        <w:rPr>
          <w:b/>
          <w:sz w:val="22"/>
        </w:rPr>
        <w:t xml:space="preserve">Website: </w:t>
      </w:r>
      <w:r>
        <w:rPr>
          <w:b/>
          <w:sz w:val="22"/>
          <w:u w:val="single" w:color="000000"/>
        </w:rPr>
        <w:t>www.phs.vn</w:t>
      </w:r>
      <w:r>
        <w:rPr>
          <w:b/>
          <w:sz w:val="22"/>
        </w:rPr>
        <w:t xml:space="preserve"> </w:t>
      </w:r>
    </w:p>
    <w:p w:rsidR="006E2C22" w:rsidRDefault="00F32A51">
      <w:pPr>
        <w:spacing w:after="0" w:line="259" w:lineRule="auto"/>
        <w:ind w:left="720" w:firstLine="0"/>
        <w:jc w:val="left"/>
      </w:pPr>
      <w:r>
        <w:rPr>
          <w:b/>
          <w:sz w:val="22"/>
        </w:rPr>
        <w:t xml:space="preserve">Email: </w:t>
      </w:r>
      <w:r>
        <w:rPr>
          <w:b/>
          <w:color w:val="0563C1"/>
          <w:sz w:val="22"/>
          <w:u w:val="single" w:color="0563C1"/>
        </w:rPr>
        <w:t>support@phs.vn</w:t>
      </w:r>
      <w:r>
        <w:rPr>
          <w:b/>
          <w:sz w:val="22"/>
        </w:rPr>
        <w:t xml:space="preserve"> </w:t>
      </w:r>
      <w:r>
        <w:rPr>
          <w:sz w:val="22"/>
        </w:rPr>
        <w:t xml:space="preserve"> </w:t>
      </w:r>
    </w:p>
    <w:p w:rsidR="006E2C22" w:rsidRDefault="00F32A51">
      <w:pPr>
        <w:spacing w:after="0" w:line="259" w:lineRule="auto"/>
        <w:ind w:left="720" w:firstLine="0"/>
        <w:jc w:val="left"/>
      </w:pPr>
      <w:r>
        <w:rPr>
          <w:sz w:val="22"/>
        </w:rPr>
        <w:t xml:space="preserve"> </w:t>
      </w:r>
    </w:p>
    <w:sectPr w:rsidR="006E2C22">
      <w:pgSz w:w="12240" w:h="15840"/>
      <w:pgMar w:top="739" w:right="1435" w:bottom="14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51DFC"/>
    <w:multiLevelType w:val="hybridMultilevel"/>
    <w:tmpl w:val="11C862F0"/>
    <w:lvl w:ilvl="0" w:tplc="F0F4857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4DE8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9292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2337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4DB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2C0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E3B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65A5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BCC2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134502"/>
    <w:multiLevelType w:val="hybridMultilevel"/>
    <w:tmpl w:val="3B64BD82"/>
    <w:lvl w:ilvl="0" w:tplc="C1D81F6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EDF1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0CBF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C3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4E136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85AC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4BA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2DA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EF79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22860FA"/>
    <w:multiLevelType w:val="hybridMultilevel"/>
    <w:tmpl w:val="6248DB70"/>
    <w:lvl w:ilvl="0" w:tplc="E9E0C790">
      <w:start w:val="1"/>
      <w:numFmt w:val="bullet"/>
      <w:lvlText w:val="-"/>
      <w:lvlJc w:val="left"/>
      <w:pPr>
        <w:ind w:left="70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62B06938">
      <w:start w:val="1"/>
      <w:numFmt w:val="bullet"/>
      <w:lvlText w:val="o"/>
      <w:lvlJc w:val="left"/>
      <w:pPr>
        <w:ind w:left="14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FDED19E">
      <w:start w:val="1"/>
      <w:numFmt w:val="bullet"/>
      <w:lvlText w:val="▪"/>
      <w:lvlJc w:val="left"/>
      <w:pPr>
        <w:ind w:left="21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E54A404">
      <w:start w:val="1"/>
      <w:numFmt w:val="bullet"/>
      <w:lvlText w:val="•"/>
      <w:lvlJc w:val="left"/>
      <w:pPr>
        <w:ind w:left="28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AF76F566">
      <w:start w:val="1"/>
      <w:numFmt w:val="bullet"/>
      <w:lvlText w:val="o"/>
      <w:lvlJc w:val="left"/>
      <w:pPr>
        <w:ind w:left="36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CE74EAA4">
      <w:start w:val="1"/>
      <w:numFmt w:val="bullet"/>
      <w:lvlText w:val="▪"/>
      <w:lvlJc w:val="left"/>
      <w:pPr>
        <w:ind w:left="43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4976B770">
      <w:start w:val="1"/>
      <w:numFmt w:val="bullet"/>
      <w:lvlText w:val="•"/>
      <w:lvlJc w:val="left"/>
      <w:pPr>
        <w:ind w:left="50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D76AA986">
      <w:start w:val="1"/>
      <w:numFmt w:val="bullet"/>
      <w:lvlText w:val="o"/>
      <w:lvlJc w:val="left"/>
      <w:pPr>
        <w:ind w:left="57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103E89D8">
      <w:start w:val="1"/>
      <w:numFmt w:val="bullet"/>
      <w:lvlText w:val="▪"/>
      <w:lvlJc w:val="left"/>
      <w:pPr>
        <w:ind w:left="64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 w15:restartNumberingAfterBreak="0">
    <w:nsid w:val="67C66D95"/>
    <w:multiLevelType w:val="hybridMultilevel"/>
    <w:tmpl w:val="973E9C38"/>
    <w:lvl w:ilvl="0" w:tplc="9154E4F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2A4F6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654BC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36D82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68CF12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50D88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52806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7030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4CE4E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22"/>
    <w:rsid w:val="00165CFA"/>
    <w:rsid w:val="005F695D"/>
    <w:rsid w:val="006E2C22"/>
    <w:rsid w:val="00762BCA"/>
    <w:rsid w:val="00796E9A"/>
    <w:rsid w:val="009F3E23"/>
    <w:rsid w:val="00AD3049"/>
    <w:rsid w:val="00B3042E"/>
    <w:rsid w:val="00B464AA"/>
    <w:rsid w:val="00D130CD"/>
    <w:rsid w:val="00D66EDE"/>
    <w:rsid w:val="00E66B44"/>
    <w:rsid w:val="00F3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EFA63B-52CB-4C38-944C-E121168B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1432</Words>
  <Characters>4967</Characters>
  <Application>Microsoft Office Word</Application>
  <DocSecurity>0</DocSecurity>
  <Lines>206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Khanh Nguyen Kim</cp:lastModifiedBy>
  <cp:revision>13</cp:revision>
  <dcterms:created xsi:type="dcterms:W3CDTF">2021-08-27T03:21:00Z</dcterms:created>
  <dcterms:modified xsi:type="dcterms:W3CDTF">2025-02-11T02:45:00Z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e904a0ad83a2388965a23e95379c2ecbe9b3353eece2b070f0bc9b39a6e1c75b</vt:lpwstr>
  </property>
</Properties>
</file>